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975" w:rsidRPr="001D3C69" w:rsidRDefault="00437975" w:rsidP="00437975">
      <w:pPr>
        <w:jc w:val="right"/>
        <w:rPr>
          <w:rFonts w:ascii="Calibri" w:hAnsi="Calibri"/>
          <w:i/>
          <w:color w:val="000000"/>
          <w:sz w:val="20"/>
          <w:szCs w:val="20"/>
        </w:rPr>
      </w:pPr>
      <w:r w:rsidRPr="001D3C69">
        <w:rPr>
          <w:rFonts w:ascii="Calibri" w:hAnsi="Calibri"/>
          <w:i/>
          <w:color w:val="000000"/>
          <w:sz w:val="20"/>
          <w:szCs w:val="20"/>
        </w:rPr>
        <w:t>Z</w:t>
      </w:r>
      <w:r>
        <w:rPr>
          <w:rFonts w:ascii="Calibri" w:hAnsi="Calibri"/>
          <w:i/>
          <w:color w:val="000000"/>
          <w:sz w:val="20"/>
          <w:szCs w:val="20"/>
        </w:rPr>
        <w:t>ałącznik Nr 10</w:t>
      </w:r>
      <w:r w:rsidR="004D6C5C" w:rsidRPr="004D6C5C">
        <w:rPr>
          <w:rFonts w:ascii="Calibri" w:hAnsi="Calibri"/>
          <w:i/>
          <w:color w:val="000000"/>
          <w:sz w:val="20"/>
          <w:szCs w:val="20"/>
        </w:rPr>
        <w:t xml:space="preserve"> </w:t>
      </w:r>
      <w:r w:rsidR="004D6C5C">
        <w:rPr>
          <w:rFonts w:ascii="Calibri" w:hAnsi="Calibri"/>
          <w:i/>
          <w:color w:val="000000"/>
          <w:sz w:val="20"/>
          <w:szCs w:val="20"/>
        </w:rPr>
        <w:t>zmieniony (Zmianą nr 15)</w:t>
      </w:r>
    </w:p>
    <w:p w:rsidR="00437975" w:rsidRDefault="00437975" w:rsidP="00437975">
      <w:pPr>
        <w:ind w:left="709"/>
        <w:jc w:val="right"/>
        <w:rPr>
          <w:rFonts w:ascii="Calibri" w:hAnsi="Calibri"/>
          <w:sz w:val="20"/>
          <w:szCs w:val="20"/>
        </w:rPr>
      </w:pPr>
    </w:p>
    <w:p w:rsidR="00437975" w:rsidRDefault="00437975" w:rsidP="00437975">
      <w:pPr>
        <w:ind w:left="709"/>
        <w:jc w:val="right"/>
        <w:rPr>
          <w:rFonts w:ascii="Calibri" w:hAnsi="Calibri"/>
          <w:sz w:val="20"/>
          <w:szCs w:val="20"/>
        </w:rPr>
      </w:pPr>
    </w:p>
    <w:p w:rsidR="00437975" w:rsidRPr="001C6258" w:rsidRDefault="00437975" w:rsidP="00437975">
      <w:pPr>
        <w:widowControl w:val="0"/>
        <w:shd w:val="clear" w:color="auto" w:fill="E0E0E0"/>
        <w:autoSpaceDE w:val="0"/>
        <w:autoSpaceDN w:val="0"/>
        <w:adjustRightInd w:val="0"/>
        <w:jc w:val="center"/>
        <w:rPr>
          <w:rFonts w:ascii="Calibri" w:hAnsi="Calibri"/>
          <w:b/>
          <w:bCs/>
          <w:color w:val="000000"/>
          <w:sz w:val="20"/>
          <w:szCs w:val="20"/>
        </w:rPr>
      </w:pPr>
      <w:r w:rsidRPr="001C6258">
        <w:rPr>
          <w:rFonts w:ascii="Calibri" w:hAnsi="Calibri"/>
          <w:b/>
          <w:bCs/>
          <w:color w:val="000000"/>
          <w:sz w:val="20"/>
          <w:szCs w:val="20"/>
          <w:u w:val="single"/>
        </w:rPr>
        <w:t xml:space="preserve">MINIMALNE WYMAGANIA FUNKCJONALNE </w:t>
      </w:r>
      <w:r>
        <w:rPr>
          <w:rFonts w:ascii="Calibri" w:hAnsi="Calibri"/>
          <w:b/>
          <w:bCs/>
          <w:color w:val="000000"/>
          <w:sz w:val="20"/>
          <w:szCs w:val="20"/>
          <w:u w:val="single"/>
        </w:rPr>
        <w:t>OPROGRAMOWANIA BAZODANOWEGO</w:t>
      </w:r>
    </w:p>
    <w:p w:rsidR="00437975" w:rsidRPr="001C6258" w:rsidRDefault="00437975" w:rsidP="00437975">
      <w:pPr>
        <w:ind w:left="709"/>
        <w:jc w:val="right"/>
        <w:rPr>
          <w:rFonts w:ascii="Calibri" w:hAnsi="Calibri"/>
          <w:sz w:val="20"/>
          <w:szCs w:val="20"/>
        </w:rPr>
      </w:pPr>
    </w:p>
    <w:p w:rsidR="00437975" w:rsidRPr="00A37C99" w:rsidRDefault="00437975" w:rsidP="00437975">
      <w:pPr>
        <w:jc w:val="center"/>
        <w:rPr>
          <w:rFonts w:ascii="Calibri" w:hAnsi="Calibri"/>
          <w:b/>
          <w:sz w:val="20"/>
          <w:szCs w:val="20"/>
        </w:rPr>
      </w:pPr>
      <w:r w:rsidRPr="00A37C99">
        <w:rPr>
          <w:rFonts w:ascii="Calibri" w:hAnsi="Calibri"/>
          <w:b/>
          <w:sz w:val="20"/>
          <w:szCs w:val="20"/>
        </w:rPr>
        <w:t>Opis wymagań funkcjonalnych oprogramowania bazodanowego</w:t>
      </w:r>
    </w:p>
    <w:p w:rsidR="00437975" w:rsidRPr="00A37C99" w:rsidRDefault="00437975" w:rsidP="00437975">
      <w:pPr>
        <w:jc w:val="both"/>
        <w:rPr>
          <w:rFonts w:ascii="Calibri" w:hAnsi="Calibri"/>
          <w:sz w:val="20"/>
          <w:szCs w:val="20"/>
        </w:rPr>
      </w:pPr>
    </w:p>
    <w:p w:rsidR="00437975" w:rsidRPr="008D00BF" w:rsidRDefault="00437975" w:rsidP="008D00BF">
      <w:pPr>
        <w:pStyle w:val="Domylnie"/>
        <w:jc w:val="both"/>
        <w:rPr>
          <w:rFonts w:ascii="Calibri" w:hAnsi="Calibri"/>
          <w:sz w:val="20"/>
          <w:szCs w:val="20"/>
          <w:lang w:val="pl-PL"/>
        </w:rPr>
      </w:pPr>
      <w:r w:rsidRPr="008D00BF">
        <w:rPr>
          <w:rFonts w:ascii="Calibri" w:hAnsi="Calibri"/>
          <w:sz w:val="20"/>
          <w:szCs w:val="20"/>
          <w:lang w:val="pl-PL"/>
        </w:rPr>
        <w:t xml:space="preserve">Zamawiający poniżej przedstawił oczekiwaną funkcjonalność oprogramowania bazodanowego. Opis należy uzupełnić </w:t>
      </w:r>
      <w:r w:rsidR="001A0440" w:rsidRPr="008D00BF">
        <w:rPr>
          <w:rFonts w:ascii="Calibri" w:hAnsi="Calibri"/>
          <w:sz w:val="20"/>
          <w:szCs w:val="20"/>
          <w:lang w:val="pl-PL"/>
        </w:rPr>
        <w:t xml:space="preserve">podając producenta/model: oferowanego </w:t>
      </w:r>
      <w:r w:rsidR="00004A49" w:rsidRPr="008D00BF">
        <w:rPr>
          <w:rFonts w:ascii="Calibri" w:hAnsi="Calibri"/>
          <w:sz w:val="20"/>
          <w:szCs w:val="20"/>
          <w:lang w:val="pl-PL"/>
        </w:rPr>
        <w:t xml:space="preserve">oprogramowania bazodanowego  </w:t>
      </w:r>
      <w:r w:rsidRPr="008D00BF">
        <w:rPr>
          <w:rFonts w:ascii="Calibri" w:hAnsi="Calibri"/>
          <w:sz w:val="20"/>
          <w:szCs w:val="20"/>
          <w:lang w:val="pl-PL"/>
        </w:rPr>
        <w:t>oraz parafować wszystkie strony i podpisać na końcu załącznika. Podpisanie załącznika jest jednoznaczne z deklaracją dostarczenia wszystkich wymaganych funkcjonalności. Uzupełniony i podpisany Opis należy załączyć do oferty.</w:t>
      </w:r>
    </w:p>
    <w:p w:rsidR="00437975" w:rsidRPr="008D00BF" w:rsidRDefault="00437975" w:rsidP="008D00BF">
      <w:pPr>
        <w:pStyle w:val="Domylnie"/>
        <w:jc w:val="both"/>
        <w:rPr>
          <w:sz w:val="20"/>
          <w:szCs w:val="20"/>
          <w:lang w:val="pl-PL"/>
        </w:rPr>
      </w:pPr>
      <w:r w:rsidRPr="008D00BF">
        <w:rPr>
          <w:rFonts w:ascii="Calibri" w:hAnsi="Calibri"/>
          <w:sz w:val="20"/>
          <w:szCs w:val="20"/>
          <w:lang w:val="pl-PL"/>
        </w:rPr>
        <w:t>Opis wymagania – opis działania, wymagań stawianych przez Zamawiającego poszczególnym elementom oferowanego systemu</w:t>
      </w:r>
    </w:p>
    <w:p w:rsidR="00437975" w:rsidRPr="00A37C99" w:rsidRDefault="00437975" w:rsidP="00437975">
      <w:pPr>
        <w:jc w:val="both"/>
        <w:rPr>
          <w:rFonts w:ascii="Calibri" w:hAnsi="Calibri"/>
          <w:sz w:val="20"/>
          <w:szCs w:val="20"/>
        </w:rPr>
      </w:pPr>
    </w:p>
    <w:p w:rsidR="00437975" w:rsidRPr="00A37C99" w:rsidRDefault="00437975" w:rsidP="00437975">
      <w:pPr>
        <w:pStyle w:val="Akapitzlist"/>
        <w:numPr>
          <w:ilvl w:val="0"/>
          <w:numId w:val="1"/>
        </w:numPr>
        <w:spacing w:after="0" w:line="240" w:lineRule="auto"/>
        <w:jc w:val="both"/>
        <w:rPr>
          <w:sz w:val="20"/>
          <w:szCs w:val="20"/>
        </w:rPr>
      </w:pPr>
      <w:r w:rsidRPr="00A37C99">
        <w:rPr>
          <w:b/>
          <w:sz w:val="20"/>
          <w:szCs w:val="20"/>
        </w:rPr>
        <w:t>Wymagania dla oprogramowania bazodanowego – bazy danych</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40856" w:rsidRPr="00A37C99" w:rsidTr="00D40856">
        <w:tc>
          <w:tcPr>
            <w:tcW w:w="9214" w:type="dxa"/>
            <w:vAlign w:val="center"/>
          </w:tcPr>
          <w:p w:rsidR="00D40856" w:rsidRPr="00A37C99" w:rsidRDefault="00D40856" w:rsidP="00AC588C">
            <w:pPr>
              <w:pStyle w:val="Tekstpodstawowy"/>
              <w:rPr>
                <w:rFonts w:ascii="Calibri" w:hAnsi="Calibri"/>
                <w:b/>
                <w:sz w:val="20"/>
                <w:szCs w:val="20"/>
              </w:rPr>
            </w:pPr>
            <w:r w:rsidRPr="00A37C99">
              <w:rPr>
                <w:rFonts w:ascii="Calibri" w:hAnsi="Calibri"/>
                <w:b/>
                <w:sz w:val="20"/>
                <w:szCs w:val="20"/>
              </w:rPr>
              <w:t>Opis Wymagania</w:t>
            </w:r>
          </w:p>
        </w:tc>
      </w:tr>
      <w:tr w:rsidR="00D40856" w:rsidRPr="00A37C99" w:rsidTr="00D40856">
        <w:trPr>
          <w:trHeight w:val="878"/>
        </w:trPr>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 xml:space="preserve">Dostępność oprogramowania na współczesne 64-bitowe platformy Unix (HP-UX dla procesorów PA-RISC i </w:t>
            </w:r>
            <w:proofErr w:type="spellStart"/>
            <w:r w:rsidRPr="00A37C99">
              <w:rPr>
                <w:rFonts w:ascii="Calibri" w:hAnsi="Calibri"/>
                <w:color w:val="000000"/>
                <w:sz w:val="20"/>
                <w:szCs w:val="20"/>
              </w:rPr>
              <w:t>Itanium</w:t>
            </w:r>
            <w:proofErr w:type="spellEnd"/>
            <w:r w:rsidRPr="00A37C99">
              <w:rPr>
                <w:rFonts w:ascii="Calibri" w:hAnsi="Calibri"/>
                <w:color w:val="000000"/>
                <w:sz w:val="20"/>
                <w:szCs w:val="20"/>
              </w:rPr>
              <w:t>, Solaris dla procesorów SPARC i Intel/AMD, IBM AIX), Intel/AMD Linux 32-bit i 64-bit, MS Windows 32-bit i 64-bit. Identyczna funkcjonalność serwera bazy danych na ww. platformach</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Niezależność platformy systemowej dla oprogramowania klienckiego / serwera aplikacyjnego od platformy systemowej bazy danych</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Możliwość przeniesienia (migracji) struktur bazy danych i danych pomiędzy ww. platformami bez konieczności rekompilacji aplikacji bądź migracji środowiska aplikacyjnego</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Przetwarzanie z zachowaniem spójności i maksymalnego możliwego stopnia współbieżności. Modyfikowanie wierszy nie może blokować ich odczytu, z kolei odczyt wierszy nie może ich blo</w:t>
            </w:r>
            <w:r>
              <w:rPr>
                <w:rFonts w:ascii="Calibri" w:hAnsi="Calibri"/>
                <w:color w:val="000000"/>
                <w:sz w:val="20"/>
                <w:szCs w:val="20"/>
              </w:rPr>
              <w:t>kować do celów modyfikacji. Jed</w:t>
            </w:r>
            <w:r w:rsidRPr="00A37C99">
              <w:rPr>
                <w:rFonts w:ascii="Calibri" w:hAnsi="Calibri"/>
                <w:color w:val="000000"/>
                <w:sz w:val="20"/>
                <w:szCs w:val="20"/>
              </w:rPr>
              <w:t xml:space="preserve">nocześnie spójność odczytu musi gwarantować uzyskanie rezultatów zapytań odzwierciedlających stan danych z chwili jego rozpoczęcia, niezależnie od modyfikacji przeglądanego zbioru danych. </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 xml:space="preserve">Wsparcie dla wielu ustawień narodowych i wielu zestawów znaków (włącznie z </w:t>
            </w:r>
            <w:proofErr w:type="spellStart"/>
            <w:r w:rsidRPr="00A37C99">
              <w:rPr>
                <w:rFonts w:ascii="Calibri" w:hAnsi="Calibri"/>
                <w:color w:val="000000"/>
                <w:sz w:val="20"/>
                <w:szCs w:val="20"/>
              </w:rPr>
              <w:t>Unicode</w:t>
            </w:r>
            <w:proofErr w:type="spellEnd"/>
            <w:r w:rsidRPr="00A37C99">
              <w:rPr>
                <w:rFonts w:ascii="Calibri" w:hAnsi="Calibri"/>
                <w:color w:val="000000"/>
                <w:sz w:val="20"/>
                <w:szCs w:val="20"/>
              </w:rPr>
              <w:t xml:space="preserve">). </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 xml:space="preserve">Możliwość migracji zestawu znaków bazy danych do </w:t>
            </w:r>
            <w:proofErr w:type="spellStart"/>
            <w:r w:rsidRPr="00A37C99">
              <w:rPr>
                <w:rFonts w:ascii="Calibri" w:hAnsi="Calibri"/>
                <w:color w:val="000000"/>
                <w:sz w:val="20"/>
                <w:szCs w:val="20"/>
              </w:rPr>
              <w:t>Unicode</w:t>
            </w:r>
            <w:proofErr w:type="spellEnd"/>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Możliwość redefiniowania przez klienta ustawień narodowych – symboli walut, formatu dat, porządku sortowania znaków.</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Wsparcie standardu JDBC 3.0</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 xml:space="preserve">Zgodność ze standardem ANSI/ISO SQL 2003 lub nowszym. </w:t>
            </w:r>
          </w:p>
        </w:tc>
      </w:tr>
      <w:tr w:rsidR="00D40856" w:rsidRPr="00A37C99" w:rsidTr="00D40856">
        <w:tc>
          <w:tcPr>
            <w:tcW w:w="9214" w:type="dxa"/>
          </w:tcPr>
          <w:p w:rsidR="00D40856" w:rsidRPr="00A37C99" w:rsidRDefault="00D40856" w:rsidP="001141E2">
            <w:pPr>
              <w:jc w:val="both"/>
              <w:rPr>
                <w:rFonts w:ascii="Calibri" w:hAnsi="Calibri"/>
                <w:color w:val="000000"/>
                <w:sz w:val="20"/>
                <w:szCs w:val="20"/>
              </w:rPr>
            </w:pPr>
            <w:r w:rsidRPr="00A37C99">
              <w:rPr>
                <w:rFonts w:ascii="Calibri" w:hAnsi="Calibri"/>
                <w:color w:val="000000"/>
                <w:sz w:val="20"/>
                <w:szCs w:val="20"/>
              </w:rPr>
              <w:t xml:space="preserve">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w:t>
            </w:r>
            <w:r w:rsidRPr="00A37C99">
              <w:rPr>
                <w:rFonts w:ascii="Calibri" w:hAnsi="Calibri"/>
                <w:color w:val="000000"/>
                <w:sz w:val="20"/>
                <w:szCs w:val="20"/>
              </w:rPr>
              <w:br/>
              <w:t>instrukcjach SQL.</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 xml:space="preserve">Brak formalnych ograniczeń na liczbę tabel i indeksów w bazie danych oraz na ich rozmiar (liczbę wierszy). </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 xml:space="preserve">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w:t>
            </w:r>
            <w:r w:rsidRPr="00A37C99">
              <w:rPr>
                <w:rFonts w:ascii="Calibri" w:hAnsi="Calibri"/>
                <w:color w:val="000000"/>
                <w:sz w:val="20"/>
                <w:szCs w:val="20"/>
              </w:rPr>
              <w:lastRenderedPageBreak/>
              <w:t xml:space="preserve">(czyli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lastRenderedPageBreak/>
              <w:t>Możliwość deklarowania wyzwalaczy (</w:t>
            </w:r>
            <w:proofErr w:type="spellStart"/>
            <w:r w:rsidRPr="00A37C99">
              <w:rPr>
                <w:rFonts w:ascii="Calibri" w:hAnsi="Calibri"/>
                <w:color w:val="000000"/>
                <w:sz w:val="20"/>
                <w:szCs w:val="20"/>
              </w:rPr>
              <w:t>triggerów</w:t>
            </w:r>
            <w:proofErr w:type="spellEnd"/>
            <w:r w:rsidRPr="00A37C99">
              <w:rPr>
                <w:rFonts w:ascii="Calibri" w:hAnsi="Calibri"/>
                <w:color w:val="000000"/>
                <w:sz w:val="20"/>
                <w:szCs w:val="20"/>
              </w:rPr>
              <w:t xml:space="preserve">) na poziomie instrukcji DML (INSERT, UPDATE, DELETE) wykonywanej na tabeli, poziomie każdego wiersza modyfikowanego przez instrukcję DML oraz na poziomie zdarzeń bazy danych (np. próba wykonania instrukcji DDL, start serwera, stop </w:t>
            </w:r>
            <w:r w:rsidRPr="00A37C99">
              <w:rPr>
                <w:rFonts w:ascii="Calibri" w:hAnsi="Calibri"/>
                <w:color w:val="000000"/>
                <w:sz w:val="20"/>
                <w:szCs w:val="20"/>
              </w:rPr>
              <w:br/>
              <w:t>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A37C99">
              <w:rPr>
                <w:rFonts w:ascii="Calibri" w:hAnsi="Calibri"/>
                <w:color w:val="000000"/>
                <w:sz w:val="20"/>
                <w:szCs w:val="20"/>
              </w:rPr>
              <w:t>views</w:t>
            </w:r>
            <w:proofErr w:type="spellEnd"/>
            <w:r w:rsidRPr="00A37C99">
              <w:rPr>
                <w:rFonts w:ascii="Calibri" w:hAnsi="Calibri"/>
                <w:color w:val="000000"/>
                <w:sz w:val="20"/>
                <w:szCs w:val="20"/>
              </w:rPr>
              <w:t>).</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 xml:space="preserve">Powinna istnieć możliwość autoryzowania użytkowników bazy danych za pomocą rejestru użytkowników założonego w bazie danych </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Baza danych powinna umożliwiać na wymuszanie złożoności hasła użytkownika, czasu życia hasła, sprawdzanie historii haseł, blokowanie konta przez administratora bądź w przypadku przekroczenia limitu nieudanych logowań.</w:t>
            </w:r>
          </w:p>
        </w:tc>
      </w:tr>
      <w:tr w:rsidR="00D40856" w:rsidRPr="00A37C99" w:rsidTr="00D40856">
        <w:tc>
          <w:tcPr>
            <w:tcW w:w="9214" w:type="dxa"/>
          </w:tcPr>
          <w:p w:rsidR="00D40856" w:rsidRPr="00A37C99" w:rsidRDefault="00D40856" w:rsidP="001141E2">
            <w:pPr>
              <w:pStyle w:val="Tekstpodstawowy"/>
              <w:spacing w:after="0"/>
              <w:jc w:val="both"/>
              <w:rPr>
                <w:rFonts w:ascii="Calibri" w:hAnsi="Calibri"/>
                <w:color w:val="000000"/>
                <w:sz w:val="20"/>
                <w:szCs w:val="20"/>
              </w:rPr>
            </w:pPr>
            <w:r w:rsidRPr="00A37C99">
              <w:rPr>
                <w:rFonts w:ascii="Calibri" w:hAnsi="Calibri"/>
                <w:color w:val="000000"/>
                <w:sz w:val="20"/>
                <w:szCs w:val="20"/>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D40856" w:rsidRPr="00A37C99" w:rsidTr="00D40856">
        <w:tc>
          <w:tcPr>
            <w:tcW w:w="9214" w:type="dxa"/>
          </w:tcPr>
          <w:p w:rsidR="00D40856" w:rsidRPr="00A37C99" w:rsidRDefault="00D40856" w:rsidP="00D40856">
            <w:pPr>
              <w:pStyle w:val="Tekstpodstawowy"/>
              <w:spacing w:after="0"/>
              <w:jc w:val="both"/>
              <w:rPr>
                <w:rFonts w:ascii="Calibri" w:hAnsi="Calibri"/>
                <w:sz w:val="20"/>
                <w:szCs w:val="20"/>
              </w:rPr>
            </w:pPr>
            <w:r w:rsidRPr="00A37C99">
              <w:rPr>
                <w:rFonts w:ascii="Calibri" w:hAnsi="Calibri"/>
                <w:sz w:val="20"/>
                <w:szCs w:val="20"/>
              </w:rP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rsidRPr="00A37C99">
              <w:rPr>
                <w:rFonts w:ascii="Calibri" w:hAnsi="Calibri"/>
                <w:sz w:val="20"/>
                <w:szCs w:val="20"/>
              </w:rPr>
              <w:t>backup'ów</w:t>
            </w:r>
            <w:proofErr w:type="spellEnd"/>
            <w:r w:rsidRPr="00A37C99">
              <w:rPr>
                <w:rFonts w:ascii="Calibri" w:hAnsi="Calibri"/>
                <w:sz w:val="20"/>
                <w:szCs w:val="20"/>
              </w:rPr>
              <w:t>. Wykonywanie kopii bezpieczeństwa powinno być możliwe w trybie offline oraz w trybie online</w:t>
            </w:r>
          </w:p>
        </w:tc>
      </w:tr>
      <w:tr w:rsidR="00D40856" w:rsidRPr="00A37C99" w:rsidTr="00D40856">
        <w:tc>
          <w:tcPr>
            <w:tcW w:w="9214" w:type="dxa"/>
          </w:tcPr>
          <w:p w:rsidR="00D40856" w:rsidRPr="00A37C99" w:rsidRDefault="00D40856" w:rsidP="001141E2">
            <w:pPr>
              <w:jc w:val="both"/>
              <w:rPr>
                <w:rFonts w:ascii="Calibri" w:hAnsi="Calibri"/>
                <w:color w:val="000000"/>
                <w:sz w:val="20"/>
                <w:szCs w:val="20"/>
              </w:rPr>
            </w:pPr>
            <w:r w:rsidRPr="00A37C99">
              <w:rPr>
                <w:rFonts w:ascii="Calibri" w:hAnsi="Calibri"/>
                <w:color w:val="000000"/>
                <w:sz w:val="20"/>
                <w:szCs w:val="20"/>
              </w:rPr>
              <w:t>Możliwość wykonywania kopii bezpieczeństwa w trybie online (</w:t>
            </w:r>
            <w:r w:rsidRPr="00A37C99">
              <w:rPr>
                <w:rFonts w:ascii="Calibri" w:hAnsi="Calibri"/>
                <w:i/>
                <w:iCs/>
                <w:color w:val="000000"/>
                <w:sz w:val="20"/>
                <w:szCs w:val="20"/>
              </w:rPr>
              <w:t>hot backup</w:t>
            </w:r>
            <w:r w:rsidRPr="00A37C99">
              <w:rPr>
                <w:rFonts w:ascii="Calibri" w:hAnsi="Calibri"/>
                <w:color w:val="000000"/>
                <w:sz w:val="20"/>
                <w:szCs w:val="20"/>
              </w:rPr>
              <w:t>).</w:t>
            </w:r>
          </w:p>
        </w:tc>
      </w:tr>
      <w:tr w:rsidR="00D40856" w:rsidRPr="00A37C99" w:rsidTr="00D40856">
        <w:tc>
          <w:tcPr>
            <w:tcW w:w="9214" w:type="dxa"/>
          </w:tcPr>
          <w:p w:rsidR="00D40856" w:rsidRPr="00A37C99" w:rsidRDefault="00D40856" w:rsidP="001141E2">
            <w:pPr>
              <w:jc w:val="both"/>
              <w:rPr>
                <w:rFonts w:ascii="Calibri" w:hAnsi="Calibri"/>
                <w:color w:val="000000"/>
                <w:sz w:val="20"/>
                <w:szCs w:val="20"/>
              </w:rPr>
            </w:pPr>
            <w:r w:rsidRPr="00A37C99">
              <w:rPr>
                <w:rFonts w:ascii="Calibri" w:hAnsi="Calibri"/>
                <w:color w:val="000000"/>
                <w:sz w:val="20"/>
                <w:szCs w:val="20"/>
              </w:rPr>
              <w:t>W przypadku, gdy odtwarzaniu podlegają pojedyncze pliki bazy danych, pozostałe pliki baz danych mogą być dostępne dla użytkowników</w:t>
            </w:r>
          </w:p>
        </w:tc>
      </w:tr>
      <w:tr w:rsidR="00D40856" w:rsidRPr="00A37C99" w:rsidTr="00D40856">
        <w:tc>
          <w:tcPr>
            <w:tcW w:w="9214" w:type="dxa"/>
          </w:tcPr>
          <w:p w:rsidR="00D40856" w:rsidRPr="00A37C99" w:rsidRDefault="00D40856" w:rsidP="001141E2">
            <w:pPr>
              <w:jc w:val="both"/>
              <w:rPr>
                <w:rFonts w:ascii="Calibri" w:hAnsi="Calibri"/>
                <w:color w:val="000000"/>
                <w:sz w:val="20"/>
                <w:szCs w:val="20"/>
              </w:rPr>
            </w:pPr>
            <w:r w:rsidRPr="00A37C99">
              <w:rPr>
                <w:rFonts w:ascii="Calibri" w:hAnsi="Calibri"/>
                <w:color w:val="000000"/>
                <w:sz w:val="20"/>
                <w:szCs w:val="20"/>
              </w:rPr>
              <w:t>Wbudowana obsługa wyrażeń regularnych zgodna ze standardem POSIX dostępna z poziomu języka SQL jak i procedur/funkcji składowanych w bazie danych.</w:t>
            </w:r>
          </w:p>
        </w:tc>
      </w:tr>
      <w:tr w:rsidR="00D40856" w:rsidRPr="00A37C99" w:rsidTr="00D40856">
        <w:tc>
          <w:tcPr>
            <w:tcW w:w="9214" w:type="dxa"/>
          </w:tcPr>
          <w:p w:rsidR="00D40856" w:rsidRPr="00A37C99" w:rsidRDefault="00D40856" w:rsidP="00D40856">
            <w:pPr>
              <w:jc w:val="both"/>
              <w:rPr>
                <w:rFonts w:ascii="Calibri" w:hAnsi="Calibri"/>
                <w:color w:val="000000"/>
                <w:sz w:val="20"/>
                <w:szCs w:val="20"/>
              </w:rPr>
            </w:pPr>
            <w:r>
              <w:rPr>
                <w:rFonts w:ascii="Calibri" w:hAnsi="Calibri"/>
                <w:color w:val="000000"/>
                <w:sz w:val="20"/>
                <w:szCs w:val="20"/>
              </w:rPr>
              <w:t>Do zaoferowanej bazy możliwe jest wykupienie dodatkowej asysty u dostawcy bazy danych oraz odbycie autoryzowanych szkoleń.</w:t>
            </w:r>
          </w:p>
        </w:tc>
      </w:tr>
    </w:tbl>
    <w:p w:rsidR="008F2E9B" w:rsidRDefault="008F2E9B" w:rsidP="00437975">
      <w:pPr>
        <w:pStyle w:val="Domylnie"/>
        <w:rPr>
          <w:rFonts w:ascii="Calibri" w:hAnsi="Calibri"/>
          <w:sz w:val="22"/>
          <w:szCs w:val="22"/>
          <w:lang w:val="pl-PL"/>
        </w:rPr>
      </w:pPr>
    </w:p>
    <w:p w:rsidR="00437975" w:rsidRDefault="00437975" w:rsidP="00437975">
      <w:pPr>
        <w:pStyle w:val="Domylnie"/>
        <w:rPr>
          <w:rFonts w:ascii="Calibri" w:hAnsi="Calibri"/>
          <w:sz w:val="22"/>
          <w:szCs w:val="22"/>
          <w:lang w:val="pl-PL"/>
        </w:rPr>
      </w:pPr>
      <w:r>
        <w:rPr>
          <w:rFonts w:ascii="Calibri" w:hAnsi="Calibri"/>
          <w:sz w:val="22"/>
          <w:szCs w:val="22"/>
          <w:lang w:val="pl-PL"/>
        </w:rPr>
        <w:t>P</w:t>
      </w:r>
      <w:r w:rsidRPr="00981696">
        <w:rPr>
          <w:rFonts w:ascii="Calibri" w:hAnsi="Calibri"/>
          <w:sz w:val="22"/>
          <w:szCs w:val="22"/>
          <w:lang w:val="pl-PL"/>
        </w:rPr>
        <w:t>roducent/Model: ………………………………………………………………………………………</w:t>
      </w:r>
    </w:p>
    <w:p w:rsidR="00D40856" w:rsidRDefault="00D40856" w:rsidP="00437975">
      <w:pPr>
        <w:pStyle w:val="Domylnie"/>
        <w:rPr>
          <w:rFonts w:ascii="Calibri" w:hAnsi="Calibri"/>
          <w:sz w:val="22"/>
          <w:szCs w:val="22"/>
          <w:lang w:val="pl-PL"/>
        </w:rPr>
      </w:pPr>
    </w:p>
    <w:p w:rsidR="00D40856" w:rsidRPr="001C60BD" w:rsidRDefault="00D40856" w:rsidP="00D40856">
      <w:pPr>
        <w:tabs>
          <w:tab w:val="left" w:pos="7430"/>
        </w:tabs>
        <w:contextualSpacing/>
        <w:rPr>
          <w:rFonts w:asciiTheme="minorHAnsi" w:hAnsiTheme="minorHAnsi" w:cstheme="minorHAnsi"/>
        </w:rPr>
      </w:pPr>
      <w:r w:rsidRPr="001C60BD">
        <w:rPr>
          <w:rFonts w:asciiTheme="minorHAnsi" w:hAnsiTheme="minorHAnsi" w:cstheme="minorHAnsi"/>
          <w:b/>
          <w:sz w:val="20"/>
          <w:szCs w:val="20"/>
        </w:rPr>
        <w:t>Warunki licencyjne</w:t>
      </w:r>
    </w:p>
    <w:tbl>
      <w:tblPr>
        <w:tblW w:w="0" w:type="auto"/>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8"/>
        <w:gridCol w:w="8403"/>
      </w:tblGrid>
      <w:tr w:rsidR="00D40856" w:rsidRPr="001C60BD" w:rsidTr="00D40856">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40856" w:rsidRPr="001C60BD" w:rsidRDefault="00D40856" w:rsidP="005F236B">
            <w:pPr>
              <w:widowControl w:val="0"/>
              <w:tabs>
                <w:tab w:val="left" w:pos="2400"/>
              </w:tabs>
              <w:jc w:val="center"/>
              <w:rPr>
                <w:rFonts w:asciiTheme="minorHAnsi" w:hAnsiTheme="minorHAnsi" w:cstheme="minorHAnsi"/>
                <w:sz w:val="20"/>
                <w:szCs w:val="20"/>
              </w:rPr>
            </w:pPr>
            <w:r w:rsidRPr="001C60BD">
              <w:rPr>
                <w:rFonts w:asciiTheme="minorHAnsi" w:hAnsiTheme="minorHAnsi" w:cstheme="minorHAnsi"/>
                <w:b/>
                <w:sz w:val="20"/>
                <w:szCs w:val="20"/>
              </w:rPr>
              <w:t>Lp.</w:t>
            </w:r>
          </w:p>
        </w:tc>
        <w:tc>
          <w:tcPr>
            <w:tcW w:w="8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40856" w:rsidRPr="001C60BD" w:rsidRDefault="00D40856" w:rsidP="005F236B">
            <w:pPr>
              <w:widowControl w:val="0"/>
              <w:tabs>
                <w:tab w:val="left" w:pos="2400"/>
              </w:tabs>
              <w:jc w:val="center"/>
              <w:rPr>
                <w:rFonts w:asciiTheme="minorHAnsi" w:hAnsiTheme="minorHAnsi" w:cstheme="minorHAnsi"/>
                <w:sz w:val="20"/>
                <w:szCs w:val="20"/>
              </w:rPr>
            </w:pPr>
            <w:r w:rsidRPr="001C60BD">
              <w:rPr>
                <w:rFonts w:asciiTheme="minorHAnsi" w:hAnsiTheme="minorHAnsi" w:cstheme="minorHAnsi"/>
                <w:b/>
                <w:sz w:val="20"/>
                <w:szCs w:val="20"/>
              </w:rPr>
              <w:t>Oprogramowanie</w:t>
            </w:r>
          </w:p>
        </w:tc>
      </w:tr>
      <w:tr w:rsidR="00D40856" w:rsidRPr="001C60BD" w:rsidTr="00D40856">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0856" w:rsidRPr="001C60BD" w:rsidRDefault="00D40856" w:rsidP="005F236B">
            <w:pPr>
              <w:widowControl w:val="0"/>
              <w:tabs>
                <w:tab w:val="left" w:pos="2400"/>
              </w:tabs>
              <w:rPr>
                <w:rFonts w:asciiTheme="minorHAnsi" w:hAnsiTheme="minorHAnsi" w:cstheme="minorHAnsi"/>
                <w:b/>
                <w:sz w:val="20"/>
                <w:szCs w:val="20"/>
              </w:rPr>
            </w:pPr>
          </w:p>
        </w:tc>
        <w:tc>
          <w:tcPr>
            <w:tcW w:w="8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40856" w:rsidRPr="001C60BD" w:rsidRDefault="00D40856" w:rsidP="005F236B">
            <w:pPr>
              <w:pStyle w:val="Bezodstpw"/>
              <w:rPr>
                <w:rFonts w:asciiTheme="minorHAnsi" w:hAnsiTheme="minorHAnsi" w:cstheme="minorHAnsi"/>
                <w:sz w:val="20"/>
                <w:szCs w:val="20"/>
              </w:rPr>
            </w:pPr>
            <w:r w:rsidRPr="001C60BD">
              <w:rPr>
                <w:rFonts w:asciiTheme="minorHAnsi" w:hAnsiTheme="minorHAnsi" w:cstheme="minorHAnsi"/>
                <w:b/>
                <w:bCs/>
                <w:sz w:val="20"/>
                <w:szCs w:val="20"/>
              </w:rPr>
              <w:t>Serwer bazy danych</w:t>
            </w:r>
          </w:p>
        </w:tc>
      </w:tr>
      <w:tr w:rsidR="00D40856" w:rsidRPr="001C60BD" w:rsidTr="00D40856">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0856" w:rsidRPr="001C60BD" w:rsidRDefault="00D40856" w:rsidP="005F236B">
            <w:pPr>
              <w:widowControl w:val="0"/>
              <w:tabs>
                <w:tab w:val="left" w:pos="2400"/>
              </w:tabs>
              <w:rPr>
                <w:rFonts w:asciiTheme="minorHAnsi" w:hAnsiTheme="minorHAnsi" w:cstheme="minorHAnsi"/>
                <w:b/>
                <w:sz w:val="20"/>
                <w:szCs w:val="20"/>
              </w:rPr>
            </w:pPr>
          </w:p>
        </w:tc>
        <w:tc>
          <w:tcPr>
            <w:tcW w:w="8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40856" w:rsidRPr="001C60BD" w:rsidRDefault="00D40856" w:rsidP="005F236B">
            <w:pPr>
              <w:jc w:val="both"/>
              <w:rPr>
                <w:rFonts w:asciiTheme="minorHAnsi" w:hAnsiTheme="minorHAnsi" w:cstheme="minorHAnsi"/>
                <w:sz w:val="20"/>
                <w:szCs w:val="20"/>
              </w:rPr>
            </w:pPr>
            <w:r w:rsidRPr="001C60BD">
              <w:rPr>
                <w:rFonts w:asciiTheme="minorHAnsi" w:hAnsiTheme="minorHAnsi" w:cstheme="minorHAnsi"/>
                <w:sz w:val="20"/>
                <w:szCs w:val="20"/>
              </w:rPr>
              <w:t>- bez limitu na liczbę procesorów</w:t>
            </w:r>
          </w:p>
        </w:tc>
      </w:tr>
      <w:tr w:rsidR="00D40856" w:rsidRPr="001C60BD" w:rsidTr="00D40856">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0856" w:rsidRPr="001C60BD" w:rsidRDefault="00D40856" w:rsidP="005F236B">
            <w:pPr>
              <w:widowControl w:val="0"/>
              <w:tabs>
                <w:tab w:val="left" w:pos="2400"/>
              </w:tabs>
              <w:rPr>
                <w:rFonts w:asciiTheme="minorHAnsi" w:hAnsiTheme="minorHAnsi" w:cstheme="minorHAnsi"/>
                <w:b/>
                <w:sz w:val="20"/>
                <w:szCs w:val="20"/>
              </w:rPr>
            </w:pPr>
          </w:p>
        </w:tc>
        <w:tc>
          <w:tcPr>
            <w:tcW w:w="8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40856" w:rsidRPr="001C60BD" w:rsidRDefault="00D40856" w:rsidP="005F236B">
            <w:pPr>
              <w:jc w:val="both"/>
              <w:rPr>
                <w:rFonts w:asciiTheme="minorHAnsi" w:hAnsiTheme="minorHAnsi" w:cstheme="minorHAnsi"/>
                <w:sz w:val="20"/>
                <w:szCs w:val="20"/>
              </w:rPr>
            </w:pPr>
            <w:r w:rsidRPr="001C60BD">
              <w:rPr>
                <w:rFonts w:asciiTheme="minorHAnsi" w:hAnsiTheme="minorHAnsi" w:cstheme="minorHAnsi"/>
                <w:sz w:val="20"/>
                <w:szCs w:val="20"/>
              </w:rPr>
              <w:t>- bez limitu na liczbę rdzeni</w:t>
            </w:r>
          </w:p>
        </w:tc>
      </w:tr>
      <w:tr w:rsidR="00D40856" w:rsidRPr="001C60BD" w:rsidTr="00D40856">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0856" w:rsidRPr="001C60BD" w:rsidRDefault="00D40856" w:rsidP="005F236B">
            <w:pPr>
              <w:widowControl w:val="0"/>
              <w:tabs>
                <w:tab w:val="left" w:pos="2400"/>
              </w:tabs>
              <w:rPr>
                <w:rFonts w:asciiTheme="minorHAnsi" w:hAnsiTheme="minorHAnsi" w:cstheme="minorHAnsi"/>
                <w:b/>
                <w:sz w:val="20"/>
                <w:szCs w:val="20"/>
              </w:rPr>
            </w:pPr>
          </w:p>
        </w:tc>
        <w:tc>
          <w:tcPr>
            <w:tcW w:w="8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40856" w:rsidRPr="001C60BD" w:rsidRDefault="00D40856" w:rsidP="005F236B">
            <w:pPr>
              <w:jc w:val="both"/>
              <w:rPr>
                <w:rFonts w:asciiTheme="minorHAnsi" w:hAnsiTheme="minorHAnsi" w:cstheme="minorHAnsi"/>
                <w:sz w:val="20"/>
                <w:szCs w:val="20"/>
              </w:rPr>
            </w:pPr>
            <w:r w:rsidRPr="001C60BD">
              <w:rPr>
                <w:rFonts w:asciiTheme="minorHAnsi" w:hAnsiTheme="minorHAnsi" w:cstheme="minorHAnsi"/>
                <w:sz w:val="20"/>
                <w:szCs w:val="20"/>
              </w:rPr>
              <w:t>- bez limitu na liczbę pracujących jednocześnie unikalnych użytkowników</w:t>
            </w:r>
          </w:p>
        </w:tc>
      </w:tr>
      <w:tr w:rsidR="00D40856" w:rsidRPr="001C60BD" w:rsidTr="00D40856">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0856" w:rsidRPr="001C60BD" w:rsidRDefault="00D40856" w:rsidP="005F236B">
            <w:pPr>
              <w:widowControl w:val="0"/>
              <w:tabs>
                <w:tab w:val="left" w:pos="2400"/>
              </w:tabs>
              <w:rPr>
                <w:rFonts w:asciiTheme="minorHAnsi" w:hAnsiTheme="minorHAnsi" w:cstheme="minorHAnsi"/>
                <w:b/>
                <w:sz w:val="20"/>
                <w:szCs w:val="20"/>
              </w:rPr>
            </w:pPr>
          </w:p>
        </w:tc>
        <w:tc>
          <w:tcPr>
            <w:tcW w:w="8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40856" w:rsidRPr="001C60BD" w:rsidRDefault="00D40856" w:rsidP="005F236B">
            <w:pPr>
              <w:jc w:val="both"/>
              <w:rPr>
                <w:rFonts w:asciiTheme="minorHAnsi" w:hAnsiTheme="minorHAnsi" w:cstheme="minorHAnsi"/>
                <w:sz w:val="20"/>
                <w:szCs w:val="20"/>
              </w:rPr>
            </w:pPr>
            <w:r w:rsidRPr="001C60BD">
              <w:rPr>
                <w:rFonts w:asciiTheme="minorHAnsi" w:hAnsiTheme="minorHAnsi" w:cstheme="minorHAnsi"/>
                <w:sz w:val="20"/>
                <w:szCs w:val="20"/>
              </w:rPr>
              <w:t>- bez limitu na taktowanie zegara procesorów</w:t>
            </w:r>
          </w:p>
        </w:tc>
      </w:tr>
      <w:tr w:rsidR="00D40856" w:rsidRPr="001C60BD" w:rsidTr="00D40856">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0856" w:rsidRPr="001C60BD" w:rsidRDefault="00D40856" w:rsidP="005F236B">
            <w:pPr>
              <w:widowControl w:val="0"/>
              <w:tabs>
                <w:tab w:val="left" w:pos="2400"/>
              </w:tabs>
              <w:rPr>
                <w:rFonts w:asciiTheme="minorHAnsi" w:hAnsiTheme="minorHAnsi" w:cstheme="minorHAnsi"/>
                <w:b/>
                <w:sz w:val="20"/>
                <w:szCs w:val="20"/>
              </w:rPr>
            </w:pPr>
          </w:p>
        </w:tc>
        <w:tc>
          <w:tcPr>
            <w:tcW w:w="8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40856" w:rsidRPr="001C60BD" w:rsidRDefault="00D40856" w:rsidP="005F236B">
            <w:pPr>
              <w:jc w:val="both"/>
              <w:rPr>
                <w:rFonts w:asciiTheme="minorHAnsi" w:hAnsiTheme="minorHAnsi" w:cstheme="minorHAnsi"/>
                <w:sz w:val="20"/>
                <w:szCs w:val="20"/>
              </w:rPr>
            </w:pPr>
            <w:r w:rsidRPr="001C60BD">
              <w:rPr>
                <w:rFonts w:asciiTheme="minorHAnsi" w:hAnsiTheme="minorHAnsi" w:cstheme="minorHAnsi"/>
                <w:sz w:val="20"/>
                <w:szCs w:val="20"/>
              </w:rPr>
              <w:t>- bez limitu na pojemność dysków i bazy danych</w:t>
            </w:r>
          </w:p>
        </w:tc>
      </w:tr>
      <w:tr w:rsidR="00D40856" w:rsidRPr="001C60BD" w:rsidTr="00D40856">
        <w:tc>
          <w:tcPr>
            <w:tcW w:w="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40856" w:rsidRPr="001C60BD" w:rsidRDefault="00D40856" w:rsidP="005F236B">
            <w:pPr>
              <w:widowControl w:val="0"/>
              <w:tabs>
                <w:tab w:val="left" w:pos="2400"/>
              </w:tabs>
              <w:rPr>
                <w:rFonts w:asciiTheme="minorHAnsi" w:hAnsiTheme="minorHAnsi" w:cstheme="minorHAnsi"/>
                <w:b/>
                <w:sz w:val="20"/>
                <w:szCs w:val="20"/>
              </w:rPr>
            </w:pPr>
          </w:p>
        </w:tc>
        <w:tc>
          <w:tcPr>
            <w:tcW w:w="8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40856" w:rsidRPr="001C60BD" w:rsidRDefault="00D40856" w:rsidP="005F236B">
            <w:pPr>
              <w:jc w:val="both"/>
              <w:rPr>
                <w:rFonts w:asciiTheme="minorHAnsi" w:hAnsiTheme="minorHAnsi" w:cstheme="minorHAnsi"/>
                <w:sz w:val="20"/>
                <w:szCs w:val="20"/>
              </w:rPr>
            </w:pPr>
            <w:r w:rsidRPr="001C60BD">
              <w:rPr>
                <w:rFonts w:asciiTheme="minorHAnsi" w:hAnsiTheme="minorHAnsi" w:cstheme="minorHAnsi"/>
                <w:sz w:val="20"/>
                <w:szCs w:val="20"/>
              </w:rPr>
              <w:t>- bez dodatkowych opłat licencyjnych po okresie gwarancyjnym</w:t>
            </w:r>
          </w:p>
        </w:tc>
      </w:tr>
      <w:tr w:rsidR="00D40856" w:rsidRPr="001C60BD" w:rsidTr="00D40856">
        <w:tc>
          <w:tcPr>
            <w:tcW w:w="528" w:type="dxa"/>
            <w:tcBorders>
              <w:left w:val="single" w:sz="4" w:space="0" w:color="00000A"/>
              <w:bottom w:val="single" w:sz="4" w:space="0" w:color="00000A"/>
              <w:right w:val="single" w:sz="4" w:space="0" w:color="00000A"/>
            </w:tcBorders>
            <w:shd w:val="clear" w:color="auto" w:fill="auto"/>
            <w:tcMar>
              <w:left w:w="103" w:type="dxa"/>
            </w:tcMar>
          </w:tcPr>
          <w:p w:rsidR="00D40856" w:rsidRPr="001C60BD" w:rsidRDefault="00D40856" w:rsidP="005F236B">
            <w:pPr>
              <w:widowControl w:val="0"/>
              <w:tabs>
                <w:tab w:val="left" w:pos="2400"/>
              </w:tabs>
              <w:rPr>
                <w:rFonts w:asciiTheme="minorHAnsi" w:hAnsiTheme="minorHAnsi" w:cstheme="minorHAnsi"/>
                <w:b/>
                <w:sz w:val="20"/>
                <w:szCs w:val="20"/>
              </w:rPr>
            </w:pPr>
          </w:p>
        </w:tc>
        <w:tc>
          <w:tcPr>
            <w:tcW w:w="8403" w:type="dxa"/>
            <w:tcBorders>
              <w:left w:val="single" w:sz="4" w:space="0" w:color="00000A"/>
              <w:bottom w:val="single" w:sz="4" w:space="0" w:color="00000A"/>
              <w:right w:val="single" w:sz="4" w:space="0" w:color="00000A"/>
            </w:tcBorders>
            <w:shd w:val="clear" w:color="auto" w:fill="auto"/>
            <w:tcMar>
              <w:left w:w="103" w:type="dxa"/>
            </w:tcMar>
            <w:vAlign w:val="center"/>
          </w:tcPr>
          <w:p w:rsidR="00D40856" w:rsidRPr="001C60BD" w:rsidRDefault="00D40856" w:rsidP="005F236B">
            <w:pPr>
              <w:jc w:val="both"/>
              <w:rPr>
                <w:rFonts w:asciiTheme="minorHAnsi" w:hAnsiTheme="minorHAnsi" w:cstheme="minorHAnsi"/>
                <w:sz w:val="20"/>
                <w:szCs w:val="20"/>
              </w:rPr>
            </w:pPr>
            <w:r w:rsidRPr="001C60BD">
              <w:rPr>
                <w:rFonts w:asciiTheme="minorHAnsi" w:hAnsiTheme="minorHAnsi" w:cstheme="minorHAnsi"/>
                <w:sz w:val="20"/>
                <w:szCs w:val="20"/>
              </w:rPr>
              <w:t>- bez limitu czasowego</w:t>
            </w:r>
          </w:p>
        </w:tc>
      </w:tr>
    </w:tbl>
    <w:p w:rsidR="00437975" w:rsidRDefault="00437975" w:rsidP="00437975">
      <w:pPr>
        <w:ind w:left="5664"/>
        <w:jc w:val="right"/>
        <w:rPr>
          <w:rFonts w:ascii="Calibri" w:hAnsi="Calibri" w:cs="Tahoma"/>
          <w:i/>
          <w:sz w:val="20"/>
          <w:szCs w:val="20"/>
        </w:rPr>
      </w:pPr>
    </w:p>
    <w:p w:rsidR="000E6AB0" w:rsidRPr="001C6258" w:rsidRDefault="000E6AB0" w:rsidP="000E6AB0">
      <w:pPr>
        <w:autoSpaceDE w:val="0"/>
        <w:autoSpaceDN w:val="0"/>
        <w:adjustRightInd w:val="0"/>
        <w:jc w:val="both"/>
        <w:rPr>
          <w:rFonts w:ascii="Calibri" w:hAnsi="Calibri"/>
          <w:b/>
          <w:bCs/>
        </w:rPr>
      </w:pPr>
      <w:r w:rsidRPr="001C6258">
        <w:rPr>
          <w:rFonts w:ascii="Calibri" w:hAnsi="Calibri"/>
          <w:b/>
          <w:bCs/>
        </w:rPr>
        <w:lastRenderedPageBreak/>
        <w:t>O</w:t>
      </w:r>
      <w:r w:rsidRPr="001C6258">
        <w:rPr>
          <w:rFonts w:ascii="Calibri" w:eastAsia="TimesNewRoman" w:hAnsi="Calibri"/>
        </w:rPr>
        <w:t>Ś</w:t>
      </w:r>
      <w:r w:rsidRPr="001C6258">
        <w:rPr>
          <w:rFonts w:ascii="Calibri" w:hAnsi="Calibri"/>
          <w:b/>
          <w:bCs/>
        </w:rPr>
        <w:t>WIADCZAM (MY)</w:t>
      </w:r>
      <w:bookmarkStart w:id="0" w:name="_GoBack"/>
      <w:bookmarkEnd w:id="0"/>
      <w:r w:rsidRPr="001C6258">
        <w:rPr>
          <w:rFonts w:ascii="Calibri" w:hAnsi="Calibri"/>
          <w:b/>
          <w:bCs/>
        </w:rPr>
        <w:t xml:space="preserve">, </w:t>
      </w:r>
      <w:r w:rsidRPr="001C6258">
        <w:rPr>
          <w:rFonts w:ascii="Calibri" w:eastAsia="TimesNewRoman" w:hAnsi="Calibri"/>
        </w:rPr>
        <w:t>Ż</w:t>
      </w:r>
      <w:r w:rsidRPr="001C6258">
        <w:rPr>
          <w:rFonts w:ascii="Calibri" w:hAnsi="Calibri"/>
          <w:b/>
          <w:bCs/>
        </w:rPr>
        <w:t>E OFEROWANY PRZEDMIOT ZAMÓWIENIA SPEŁNIA WSZYSTKIE W/W WYMAGANIA:</w:t>
      </w:r>
    </w:p>
    <w:p w:rsidR="000E6AB0" w:rsidRPr="001C6258" w:rsidRDefault="000E6AB0" w:rsidP="000E6AB0">
      <w:pPr>
        <w:autoSpaceDE w:val="0"/>
        <w:autoSpaceDN w:val="0"/>
        <w:adjustRightInd w:val="0"/>
        <w:rPr>
          <w:rFonts w:ascii="Calibri" w:hAnsi="Calibri"/>
          <w:b/>
          <w:bCs/>
        </w:rPr>
      </w:pPr>
    </w:p>
    <w:p w:rsidR="000E6AB0" w:rsidRPr="001C6258" w:rsidRDefault="000E6AB0" w:rsidP="000E6AB0">
      <w:pPr>
        <w:autoSpaceDE w:val="0"/>
        <w:autoSpaceDN w:val="0"/>
        <w:adjustRightInd w:val="0"/>
        <w:rPr>
          <w:rFonts w:ascii="Calibri" w:hAnsi="Calibri"/>
          <w:b/>
          <w:bCs/>
        </w:rPr>
      </w:pPr>
    </w:p>
    <w:p w:rsidR="000E6AB0" w:rsidRPr="001C6258" w:rsidRDefault="000E6AB0" w:rsidP="000E6AB0">
      <w:pPr>
        <w:autoSpaceDE w:val="0"/>
        <w:autoSpaceDN w:val="0"/>
        <w:adjustRightInd w:val="0"/>
        <w:rPr>
          <w:rFonts w:ascii="Calibri" w:hAnsi="Calibri"/>
          <w:b/>
          <w:bCs/>
          <w:i/>
          <w:iCs/>
        </w:rPr>
      </w:pPr>
      <w:r w:rsidRPr="001C6258">
        <w:rPr>
          <w:rFonts w:ascii="Calibri" w:hAnsi="Calibri"/>
          <w:b/>
          <w:bCs/>
          <w:i/>
          <w:iCs/>
        </w:rPr>
        <w:t>Zał</w:t>
      </w:r>
      <w:r w:rsidRPr="001C6258">
        <w:rPr>
          <w:rFonts w:ascii="Calibri" w:eastAsia="TimesNewRoman" w:hAnsi="Calibri"/>
        </w:rPr>
        <w:t>ą</w:t>
      </w:r>
      <w:r w:rsidRPr="001C6258">
        <w:rPr>
          <w:rFonts w:ascii="Calibri" w:hAnsi="Calibri"/>
          <w:b/>
          <w:bCs/>
          <w:i/>
          <w:iCs/>
        </w:rPr>
        <w:t>cznik stanowi integraln</w:t>
      </w:r>
      <w:r w:rsidRPr="001C6258">
        <w:rPr>
          <w:rFonts w:ascii="Calibri" w:eastAsia="TimesNewRoman" w:hAnsi="Calibri"/>
        </w:rPr>
        <w:t xml:space="preserve">ą </w:t>
      </w:r>
      <w:r w:rsidRPr="001C6258">
        <w:rPr>
          <w:rFonts w:ascii="Calibri" w:hAnsi="Calibri"/>
          <w:b/>
          <w:bCs/>
          <w:i/>
          <w:iCs/>
        </w:rPr>
        <w:t>cz</w:t>
      </w:r>
      <w:r w:rsidRPr="001C6258">
        <w:rPr>
          <w:rFonts w:ascii="Calibri" w:eastAsia="TimesNewRoman" w:hAnsi="Calibri"/>
          <w:b/>
        </w:rPr>
        <w:t>ęść</w:t>
      </w:r>
      <w:r w:rsidRPr="001C6258">
        <w:rPr>
          <w:rFonts w:ascii="Calibri" w:eastAsia="TimesNewRoman" w:hAnsi="Calibri"/>
        </w:rPr>
        <w:t xml:space="preserve"> </w:t>
      </w:r>
      <w:r w:rsidRPr="001C6258">
        <w:rPr>
          <w:rFonts w:ascii="Calibri" w:hAnsi="Calibri"/>
          <w:b/>
          <w:bCs/>
          <w:i/>
          <w:iCs/>
        </w:rPr>
        <w:t>oferty.</w:t>
      </w:r>
    </w:p>
    <w:p w:rsidR="000E6AB0" w:rsidRPr="001C6258" w:rsidRDefault="000E6AB0" w:rsidP="000E6AB0">
      <w:pPr>
        <w:autoSpaceDE w:val="0"/>
        <w:autoSpaceDN w:val="0"/>
        <w:adjustRightInd w:val="0"/>
        <w:rPr>
          <w:rFonts w:ascii="Calibri" w:hAnsi="Calibri"/>
          <w:b/>
          <w:bCs/>
          <w:i/>
          <w:iCs/>
        </w:rPr>
      </w:pPr>
    </w:p>
    <w:p w:rsidR="000E6AB0" w:rsidRPr="001C6258" w:rsidRDefault="000E6AB0" w:rsidP="000E6AB0">
      <w:pPr>
        <w:autoSpaceDE w:val="0"/>
        <w:autoSpaceDN w:val="0"/>
        <w:adjustRightInd w:val="0"/>
        <w:rPr>
          <w:rFonts w:ascii="Calibri" w:hAnsi="Calibri"/>
          <w:b/>
          <w:bCs/>
          <w:i/>
          <w:iCs/>
        </w:rPr>
      </w:pPr>
    </w:p>
    <w:tbl>
      <w:tblPr>
        <w:tblW w:w="0" w:type="auto"/>
        <w:tblLook w:val="00A0" w:firstRow="1" w:lastRow="0" w:firstColumn="1" w:lastColumn="0" w:noHBand="0" w:noVBand="0"/>
      </w:tblPr>
      <w:tblGrid>
        <w:gridCol w:w="4606"/>
        <w:gridCol w:w="4606"/>
      </w:tblGrid>
      <w:tr w:rsidR="000E6AB0" w:rsidRPr="001C6258" w:rsidTr="00A66C96">
        <w:tc>
          <w:tcPr>
            <w:tcW w:w="4606" w:type="dxa"/>
          </w:tcPr>
          <w:p w:rsidR="000E6AB0" w:rsidRPr="001C6258" w:rsidRDefault="000E6AB0" w:rsidP="00A66C96">
            <w:pPr>
              <w:autoSpaceDE w:val="0"/>
              <w:autoSpaceDN w:val="0"/>
              <w:adjustRightInd w:val="0"/>
              <w:rPr>
                <w:rFonts w:ascii="Calibri" w:hAnsi="Calibri"/>
                <w:b/>
                <w:bCs/>
                <w:i/>
                <w:iCs/>
              </w:rPr>
            </w:pPr>
            <w:r w:rsidRPr="001C6258">
              <w:rPr>
                <w:rFonts w:ascii="Calibri" w:hAnsi="Calibri"/>
              </w:rPr>
              <w:t>Miejscowo</w:t>
            </w:r>
            <w:r w:rsidRPr="001C6258">
              <w:rPr>
                <w:rFonts w:ascii="Calibri" w:eastAsia="TimesNewRoman" w:hAnsi="Calibri"/>
              </w:rPr>
              <w:t>ść</w:t>
            </w:r>
            <w:r w:rsidRPr="001C6258">
              <w:rPr>
                <w:rFonts w:ascii="Calibri" w:hAnsi="Calibri"/>
              </w:rPr>
              <w:t>, data: …………………………..</w:t>
            </w:r>
          </w:p>
        </w:tc>
        <w:tc>
          <w:tcPr>
            <w:tcW w:w="4606" w:type="dxa"/>
          </w:tcPr>
          <w:p w:rsidR="000E6AB0" w:rsidRPr="001C6258" w:rsidRDefault="000E6AB0" w:rsidP="00A66C96">
            <w:pPr>
              <w:autoSpaceDE w:val="0"/>
              <w:autoSpaceDN w:val="0"/>
              <w:adjustRightInd w:val="0"/>
              <w:jc w:val="right"/>
              <w:rPr>
                <w:rFonts w:ascii="Calibri" w:hAnsi="Calibri"/>
                <w:b/>
                <w:bCs/>
                <w:i/>
                <w:iCs/>
              </w:rPr>
            </w:pPr>
            <w:r w:rsidRPr="001C6258">
              <w:rPr>
                <w:rFonts w:ascii="Calibri" w:hAnsi="Calibri"/>
              </w:rPr>
              <w:t>……………………………………………</w:t>
            </w:r>
          </w:p>
        </w:tc>
      </w:tr>
      <w:tr w:rsidR="000E6AB0" w:rsidRPr="001C6258" w:rsidTr="00A66C96">
        <w:tc>
          <w:tcPr>
            <w:tcW w:w="4606" w:type="dxa"/>
          </w:tcPr>
          <w:p w:rsidR="000E6AB0" w:rsidRPr="001C6258" w:rsidRDefault="000E6AB0" w:rsidP="00A66C96">
            <w:pPr>
              <w:autoSpaceDE w:val="0"/>
              <w:autoSpaceDN w:val="0"/>
              <w:adjustRightInd w:val="0"/>
              <w:rPr>
                <w:rFonts w:ascii="Calibri" w:hAnsi="Calibri"/>
                <w:b/>
                <w:bCs/>
                <w:i/>
                <w:iCs/>
              </w:rPr>
            </w:pPr>
          </w:p>
        </w:tc>
        <w:tc>
          <w:tcPr>
            <w:tcW w:w="4606" w:type="dxa"/>
          </w:tcPr>
          <w:p w:rsidR="000E6AB0" w:rsidRPr="001C6258" w:rsidRDefault="000E6AB0" w:rsidP="00A66C96">
            <w:pPr>
              <w:autoSpaceDE w:val="0"/>
              <w:autoSpaceDN w:val="0"/>
              <w:adjustRightInd w:val="0"/>
              <w:jc w:val="right"/>
              <w:rPr>
                <w:rFonts w:ascii="Calibri" w:hAnsi="Calibri"/>
                <w:i/>
                <w:iCs/>
              </w:rPr>
            </w:pPr>
            <w:r w:rsidRPr="001C6258">
              <w:rPr>
                <w:rFonts w:ascii="Calibri" w:hAnsi="Calibri"/>
                <w:i/>
                <w:iCs/>
              </w:rPr>
              <w:t>piecz</w:t>
            </w:r>
            <w:r w:rsidRPr="001C6258">
              <w:rPr>
                <w:rFonts w:ascii="Calibri" w:eastAsia="TimesNewRoman" w:hAnsi="Calibri"/>
              </w:rPr>
              <w:t xml:space="preserve">ęć </w:t>
            </w:r>
            <w:r w:rsidRPr="001C6258">
              <w:rPr>
                <w:rFonts w:ascii="Calibri" w:hAnsi="Calibri"/>
                <w:i/>
                <w:iCs/>
              </w:rPr>
              <w:t>i podpis osób uprawnionych</w:t>
            </w:r>
          </w:p>
          <w:p w:rsidR="000E6AB0" w:rsidRDefault="000E6AB0" w:rsidP="00A66C96">
            <w:pPr>
              <w:autoSpaceDE w:val="0"/>
              <w:autoSpaceDN w:val="0"/>
              <w:adjustRightInd w:val="0"/>
              <w:jc w:val="right"/>
              <w:rPr>
                <w:rFonts w:ascii="Calibri" w:hAnsi="Calibri"/>
                <w:i/>
                <w:iCs/>
              </w:rPr>
            </w:pPr>
            <w:r w:rsidRPr="001C6258">
              <w:rPr>
                <w:rFonts w:ascii="Calibri" w:hAnsi="Calibri"/>
                <w:i/>
                <w:iCs/>
              </w:rPr>
              <w:t>lub czytelny podpis osób uprawnionych</w:t>
            </w:r>
          </w:p>
          <w:p w:rsidR="000E6AB0" w:rsidRPr="001C6258" w:rsidRDefault="000E6AB0" w:rsidP="00A66C96">
            <w:pPr>
              <w:autoSpaceDE w:val="0"/>
              <w:autoSpaceDN w:val="0"/>
              <w:adjustRightInd w:val="0"/>
              <w:jc w:val="right"/>
              <w:rPr>
                <w:rFonts w:ascii="Calibri" w:hAnsi="Calibri"/>
              </w:rPr>
            </w:pPr>
          </w:p>
          <w:p w:rsidR="000E6AB0" w:rsidRPr="001C6258" w:rsidRDefault="000E6AB0" w:rsidP="00A66C96">
            <w:pPr>
              <w:autoSpaceDE w:val="0"/>
              <w:autoSpaceDN w:val="0"/>
              <w:adjustRightInd w:val="0"/>
              <w:jc w:val="right"/>
              <w:rPr>
                <w:rFonts w:ascii="Calibri" w:hAnsi="Calibri"/>
                <w:b/>
                <w:bCs/>
                <w:i/>
                <w:iCs/>
              </w:rPr>
            </w:pPr>
          </w:p>
        </w:tc>
      </w:tr>
    </w:tbl>
    <w:p w:rsidR="00D975F7" w:rsidRPr="000E6AB0" w:rsidRDefault="00D975F7" w:rsidP="00437975">
      <w:pPr>
        <w:rPr>
          <w:sz w:val="10"/>
          <w:szCs w:val="10"/>
        </w:rPr>
      </w:pPr>
    </w:p>
    <w:sectPr w:rsidR="00D975F7" w:rsidRPr="000E6AB0" w:rsidSect="000E6AB0">
      <w:head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55" w:rsidRDefault="00D63055" w:rsidP="00097579">
      <w:r>
        <w:separator/>
      </w:r>
    </w:p>
  </w:endnote>
  <w:endnote w:type="continuationSeparator" w:id="0">
    <w:p w:rsidR="00D63055" w:rsidRDefault="00D63055" w:rsidP="0009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55" w:rsidRDefault="00D63055" w:rsidP="00097579">
      <w:r>
        <w:separator/>
      </w:r>
    </w:p>
  </w:footnote>
  <w:footnote w:type="continuationSeparator" w:id="0">
    <w:p w:rsidR="00D63055" w:rsidRDefault="00D63055" w:rsidP="000975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B8" w:rsidRDefault="00471FB8" w:rsidP="00471FB8">
    <w:pPr>
      <w:pStyle w:val="Nagwek"/>
    </w:pPr>
  </w:p>
  <w:p w:rsidR="00471FB8" w:rsidRDefault="00471FB8" w:rsidP="00471FB8">
    <w:pPr>
      <w:pStyle w:val="Nagwek"/>
      <w:jc w:val="center"/>
    </w:pPr>
    <w:r>
      <w:rPr>
        <w:rFonts w:ascii="Helvetica" w:hAnsi="Helvetica" w:cs="Helvetica"/>
        <w:b/>
        <w:bCs/>
        <w:noProof/>
        <w:sz w:val="23"/>
        <w:szCs w:val="23"/>
        <w:shd w:val="clear" w:color="auto" w:fill="FFFFFF"/>
      </w:rPr>
      <w:drawing>
        <wp:inline distT="0" distB="0" distL="0" distR="0" wp14:anchorId="737CF6DC" wp14:editId="1C173A54">
          <wp:extent cx="4829175" cy="447675"/>
          <wp:effectExtent l="0" t="0" r="9525" b="9525"/>
          <wp:docPr id="36" name="Obraz 36" descr="Obraz przedstawiający loga: Fundusze Europejskie Program Regionalny, Mazowsze Serce Polski, Unia Europejska - Europejski Fundusz Społecz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przedstawiający loga: Fundusze Europejskie Program Regionalny, Mazowsze Serce Polski, Unia Europejska - Europejski Fundusz Społeczn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447675"/>
                  </a:xfrm>
                  <a:prstGeom prst="rect">
                    <a:avLst/>
                  </a:prstGeom>
                  <a:noFill/>
                  <a:ln>
                    <a:noFill/>
                  </a:ln>
                </pic:spPr>
              </pic:pic>
            </a:graphicData>
          </a:graphic>
        </wp:inline>
      </w:drawing>
    </w:r>
  </w:p>
  <w:p w:rsidR="00471FB8" w:rsidRDefault="00471F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1E54"/>
    <w:multiLevelType w:val="hybridMultilevel"/>
    <w:tmpl w:val="77D46798"/>
    <w:lvl w:ilvl="0" w:tplc="9C561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236505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7975"/>
    <w:rsid w:val="00004A49"/>
    <w:rsid w:val="000102E4"/>
    <w:rsid w:val="0007085E"/>
    <w:rsid w:val="00097579"/>
    <w:rsid w:val="000A6E95"/>
    <w:rsid w:val="000D68CA"/>
    <w:rsid w:val="000E6AB0"/>
    <w:rsid w:val="001141E2"/>
    <w:rsid w:val="0018678B"/>
    <w:rsid w:val="001A0440"/>
    <w:rsid w:val="001E6EDD"/>
    <w:rsid w:val="0027557D"/>
    <w:rsid w:val="00276815"/>
    <w:rsid w:val="002E32C5"/>
    <w:rsid w:val="00340B81"/>
    <w:rsid w:val="003F15DA"/>
    <w:rsid w:val="00400AA8"/>
    <w:rsid w:val="00437975"/>
    <w:rsid w:val="00471FB8"/>
    <w:rsid w:val="004D6C5C"/>
    <w:rsid w:val="004E1DD4"/>
    <w:rsid w:val="00506D49"/>
    <w:rsid w:val="005B2DB9"/>
    <w:rsid w:val="006C3EDD"/>
    <w:rsid w:val="007924E6"/>
    <w:rsid w:val="007A4F56"/>
    <w:rsid w:val="0083648E"/>
    <w:rsid w:val="008C32CA"/>
    <w:rsid w:val="008D00BF"/>
    <w:rsid w:val="008F2E9B"/>
    <w:rsid w:val="00932870"/>
    <w:rsid w:val="00951F71"/>
    <w:rsid w:val="009B738F"/>
    <w:rsid w:val="00A64752"/>
    <w:rsid w:val="00B15EA1"/>
    <w:rsid w:val="00D3531D"/>
    <w:rsid w:val="00D40856"/>
    <w:rsid w:val="00D51FFF"/>
    <w:rsid w:val="00D63055"/>
    <w:rsid w:val="00D91E56"/>
    <w:rsid w:val="00D975F7"/>
    <w:rsid w:val="00DB5B71"/>
    <w:rsid w:val="00E03E74"/>
    <w:rsid w:val="00ED1F85"/>
    <w:rsid w:val="00F00199"/>
    <w:rsid w:val="00F92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975"/>
    <w:pPr>
      <w:spacing w:after="0" w:line="240" w:lineRule="auto"/>
    </w:pPr>
    <w:rPr>
      <w:rFonts w:ascii="Arial" w:eastAsia="Times New Roman" w:hAnsi="Arial"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F2) Znak Znak Znak,Tekst podstawowy3,(F2) Znak Znak7 Znak,(F2) Znak Znak7"/>
    <w:basedOn w:val="Normalny"/>
    <w:link w:val="TekstpodstawowyZnak"/>
    <w:unhideWhenUsed/>
    <w:rsid w:val="00437975"/>
    <w:pPr>
      <w:spacing w:after="120"/>
    </w:pPr>
  </w:style>
  <w:style w:type="character" w:customStyle="1" w:styleId="TekstpodstawowyZnak">
    <w:name w:val="Tekst podstawowy Znak"/>
    <w:aliases w:val="body text Znak,(F2) Znak Znak Znak Znak,Tekst podstawowy3 Znak,(F2) Znak Znak7 Znak Znak,(F2) Znak Znak7 Znak1"/>
    <w:basedOn w:val="Domylnaczcionkaakapitu"/>
    <w:link w:val="Tekstpodstawowy"/>
    <w:rsid w:val="00437975"/>
    <w:rPr>
      <w:rFonts w:ascii="Arial" w:eastAsia="Times New Roman" w:hAnsi="Arial" w:cs="Times New Roman"/>
      <w:lang w:eastAsia="pl-PL"/>
    </w:rPr>
  </w:style>
  <w:style w:type="paragraph" w:styleId="Akapitzlist">
    <w:name w:val="List Paragraph"/>
    <w:basedOn w:val="Normalny"/>
    <w:uiPriority w:val="99"/>
    <w:qFormat/>
    <w:rsid w:val="00437975"/>
    <w:pPr>
      <w:spacing w:after="200" w:line="276" w:lineRule="auto"/>
      <w:ind w:left="720"/>
      <w:contextualSpacing/>
    </w:pPr>
    <w:rPr>
      <w:rFonts w:ascii="Calibri" w:eastAsia="Calibri" w:hAnsi="Calibri"/>
      <w:lang w:eastAsia="en-US"/>
    </w:rPr>
  </w:style>
  <w:style w:type="paragraph" w:customStyle="1" w:styleId="Domylnie">
    <w:name w:val="Domyślnie"/>
    <w:rsid w:val="00437975"/>
    <w:pPr>
      <w:widowControl w:val="0"/>
      <w:tabs>
        <w:tab w:val="left" w:pos="709"/>
      </w:tabs>
      <w:suppressAutoHyphens/>
    </w:pPr>
    <w:rPr>
      <w:rFonts w:ascii="Times New Roman" w:eastAsia="Arial Unicode MS" w:hAnsi="Times New Roman" w:cs="Mangal"/>
      <w:sz w:val="24"/>
      <w:szCs w:val="24"/>
      <w:lang w:val="en-GB" w:eastAsia="zh-CN" w:bidi="hi-IN"/>
    </w:rPr>
  </w:style>
  <w:style w:type="character" w:styleId="Odwoaniedokomentarza">
    <w:name w:val="annotation reference"/>
    <w:basedOn w:val="Domylnaczcionkaakapitu"/>
    <w:uiPriority w:val="99"/>
    <w:semiHidden/>
    <w:unhideWhenUsed/>
    <w:rsid w:val="0007085E"/>
    <w:rPr>
      <w:sz w:val="16"/>
      <w:szCs w:val="16"/>
    </w:rPr>
  </w:style>
  <w:style w:type="paragraph" w:styleId="Tekstkomentarza">
    <w:name w:val="annotation text"/>
    <w:basedOn w:val="Normalny"/>
    <w:link w:val="TekstkomentarzaZnak"/>
    <w:uiPriority w:val="99"/>
    <w:semiHidden/>
    <w:unhideWhenUsed/>
    <w:rsid w:val="0007085E"/>
    <w:rPr>
      <w:sz w:val="20"/>
      <w:szCs w:val="20"/>
    </w:rPr>
  </w:style>
  <w:style w:type="character" w:customStyle="1" w:styleId="TekstkomentarzaZnak">
    <w:name w:val="Tekst komentarza Znak"/>
    <w:basedOn w:val="Domylnaczcionkaakapitu"/>
    <w:link w:val="Tekstkomentarza"/>
    <w:uiPriority w:val="99"/>
    <w:semiHidden/>
    <w:rsid w:val="0007085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7085E"/>
    <w:rPr>
      <w:b/>
      <w:bCs/>
    </w:rPr>
  </w:style>
  <w:style w:type="character" w:customStyle="1" w:styleId="TematkomentarzaZnak">
    <w:name w:val="Temat komentarza Znak"/>
    <w:basedOn w:val="TekstkomentarzaZnak"/>
    <w:link w:val="Tematkomentarza"/>
    <w:uiPriority w:val="99"/>
    <w:semiHidden/>
    <w:rsid w:val="0007085E"/>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0708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085E"/>
    <w:rPr>
      <w:rFonts w:ascii="Segoe UI" w:eastAsia="Times New Roman" w:hAnsi="Segoe UI" w:cs="Segoe UI"/>
      <w:sz w:val="18"/>
      <w:szCs w:val="18"/>
      <w:lang w:eastAsia="pl-PL"/>
    </w:rPr>
  </w:style>
  <w:style w:type="paragraph" w:styleId="Bezodstpw">
    <w:name w:val="No Spacing"/>
    <w:link w:val="BezodstpwZnak"/>
    <w:qFormat/>
    <w:rsid w:val="00D40856"/>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D4085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97579"/>
    <w:pPr>
      <w:tabs>
        <w:tab w:val="center" w:pos="4536"/>
        <w:tab w:val="right" w:pos="9072"/>
      </w:tabs>
    </w:pPr>
  </w:style>
  <w:style w:type="character" w:customStyle="1" w:styleId="NagwekZnak">
    <w:name w:val="Nagłówek Znak"/>
    <w:basedOn w:val="Domylnaczcionkaakapitu"/>
    <w:link w:val="Nagwek"/>
    <w:uiPriority w:val="99"/>
    <w:rsid w:val="00097579"/>
    <w:rPr>
      <w:rFonts w:ascii="Arial" w:eastAsia="Times New Roman" w:hAnsi="Arial" w:cs="Times New Roman"/>
      <w:lang w:eastAsia="pl-PL"/>
    </w:rPr>
  </w:style>
  <w:style w:type="paragraph" w:styleId="Stopka">
    <w:name w:val="footer"/>
    <w:basedOn w:val="Normalny"/>
    <w:link w:val="StopkaZnak"/>
    <w:uiPriority w:val="99"/>
    <w:unhideWhenUsed/>
    <w:rsid w:val="00097579"/>
    <w:pPr>
      <w:tabs>
        <w:tab w:val="center" w:pos="4536"/>
        <w:tab w:val="right" w:pos="9072"/>
      </w:tabs>
    </w:pPr>
  </w:style>
  <w:style w:type="character" w:customStyle="1" w:styleId="StopkaZnak">
    <w:name w:val="Stopka Znak"/>
    <w:basedOn w:val="Domylnaczcionkaakapitu"/>
    <w:link w:val="Stopka"/>
    <w:uiPriority w:val="99"/>
    <w:rsid w:val="00097579"/>
    <w:rPr>
      <w:rFonts w:ascii="Arial" w:eastAsia="Times New Roman" w:hAnsi="Arial"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6212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2017-09-11T11:31:00Z</dcterms:created>
  <dcterms:modified xsi:type="dcterms:W3CDTF">2017-09-11T11:59:00Z</dcterms:modified>
</cp:coreProperties>
</file>